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D354C" w14:textId="690CAD83" w:rsidR="00C86394" w:rsidRDefault="00C86394" w:rsidP="00C86394">
      <w:pPr>
        <w:shd w:val="clear" w:color="auto" w:fill="FFFFFF" w:themeFill="background1"/>
        <w:rPr>
          <w:rFonts w:ascii="Calibri" w:hAnsi="Calibri"/>
        </w:rPr>
      </w:pPr>
      <w:r>
        <w:rPr>
          <w:rFonts w:ascii="Calibri" w:hAnsi="Calibri"/>
        </w:rPr>
        <w:t>FY 2022 Cambridge CoC Program Competition Community Funding Priorities Survey</w:t>
      </w:r>
    </w:p>
    <w:p w14:paraId="47429F7E" w14:textId="77777777" w:rsidR="00C86394" w:rsidRDefault="00C86394" w:rsidP="00C86394">
      <w:pPr>
        <w:rPr>
          <w:rFonts w:ascii="Calibri" w:hAnsi="Calibri"/>
          <w:b/>
        </w:rPr>
      </w:pPr>
      <w:r>
        <w:rPr>
          <w:rFonts w:ascii="Calibri" w:hAnsi="Calibri"/>
          <w:b/>
        </w:rPr>
        <w:t>FUNDING RECOMMENDATIONS</w:t>
      </w:r>
    </w:p>
    <w:p w14:paraId="61ED7A6A" w14:textId="77777777" w:rsidR="00C86394" w:rsidRDefault="00C86394" w:rsidP="00C86394">
      <w:pPr>
        <w:rPr>
          <w:rFonts w:ascii="Calibri" w:hAnsi="Calibri"/>
        </w:rPr>
      </w:pPr>
    </w:p>
    <w:p w14:paraId="6E7E25F2" w14:textId="7B2DEF8A" w:rsidR="00C86394" w:rsidRPr="007D0D30" w:rsidRDefault="00C86394" w:rsidP="00C86394">
      <w:pPr>
        <w:spacing w:after="240"/>
        <w:rPr>
          <w:rFonts w:ascii="Calibri" w:hAnsi="Calibri"/>
          <w:sz w:val="20"/>
          <w:szCs w:val="20"/>
        </w:rPr>
      </w:pPr>
      <w:r w:rsidRPr="007D0D30">
        <w:rPr>
          <w:rFonts w:cs="Segoe UI Semilight"/>
          <w:sz w:val="20"/>
          <w:szCs w:val="20"/>
        </w:rPr>
        <w:t xml:space="preserve">Recommendations from the CoC are a key component to the overall strategic resource allocation decision making process in the 2022 CoC competition. The CoC Board’s Evaluation Panel will rely on CoC Recommendations to inform their decisions related to funding priorities, reallocation, ranking and tiering. </w:t>
      </w:r>
      <w:r w:rsidR="00A06010">
        <w:rPr>
          <w:rFonts w:cs="Segoe UI Semilight"/>
          <w:b/>
          <w:bCs/>
          <w:sz w:val="20"/>
          <w:szCs w:val="20"/>
        </w:rPr>
        <w:t>We ask that each agency and/or individual submit one response to the survey</w:t>
      </w:r>
      <w:r w:rsidRPr="007D0D30">
        <w:rPr>
          <w:rFonts w:cs="Segoe UI Semilight"/>
          <w:b/>
          <w:bCs/>
          <w:sz w:val="20"/>
          <w:szCs w:val="20"/>
        </w:rPr>
        <w:t>.</w:t>
      </w:r>
      <w:r w:rsidRPr="007D0D30">
        <w:rPr>
          <w:rFonts w:cs="Segoe UI Semilight"/>
          <w:sz w:val="20"/>
          <w:szCs w:val="20"/>
        </w:rPr>
        <w:t xml:space="preserve"> Results from the survey will be compiled and presented to the CoC Board’s Evaluation Panel for consideration as part of their decision-making process. Individual responses will not be presented in an identified manner. In other words, when publishing aggregate results of the survey, no one agency or individual’s responses will be identified.</w:t>
      </w:r>
      <w:r w:rsidR="007D0D30" w:rsidRPr="007D0D30">
        <w:rPr>
          <w:rFonts w:cs="Segoe UI Semilight"/>
          <w:sz w:val="20"/>
          <w:szCs w:val="20"/>
        </w:rPr>
        <w:t xml:space="preserve"> Please email completed form to </w:t>
      </w:r>
      <w:hyperlink r:id="rId5" w:history="1">
        <w:r w:rsidR="007D0D30" w:rsidRPr="007D0D30">
          <w:rPr>
            <w:rStyle w:val="Hyperlink"/>
            <w:rFonts w:cs="Segoe UI Semilight"/>
            <w:sz w:val="20"/>
            <w:szCs w:val="20"/>
          </w:rPr>
          <w:t>emengers@cambridgema.gov</w:t>
        </w:r>
      </w:hyperlink>
      <w:r w:rsidR="007D0D30" w:rsidRPr="007D0D30">
        <w:rPr>
          <w:rFonts w:cs="Segoe UI Semilight"/>
          <w:sz w:val="20"/>
          <w:szCs w:val="20"/>
        </w:rPr>
        <w:t xml:space="preserve"> by September 2, 2022. </w:t>
      </w:r>
    </w:p>
    <w:p w14:paraId="4970D163" w14:textId="77777777" w:rsidR="00C86394" w:rsidRPr="007D0D30" w:rsidRDefault="00C86394" w:rsidP="00C86394">
      <w:pPr>
        <w:pStyle w:val="ListParagraph"/>
        <w:numPr>
          <w:ilvl w:val="0"/>
          <w:numId w:val="1"/>
        </w:numPr>
        <w:spacing w:after="240"/>
        <w:contextualSpacing w:val="0"/>
        <w:rPr>
          <w:rFonts w:cs="Segoe UI Semilight"/>
          <w:sz w:val="20"/>
          <w:szCs w:val="20"/>
        </w:rPr>
      </w:pPr>
      <w:r w:rsidRPr="007D0D30">
        <w:rPr>
          <w:rFonts w:cs="Segoe UI Semilight"/>
          <w:sz w:val="20"/>
          <w:szCs w:val="20"/>
        </w:rPr>
        <w:t>The Cambridge CoC has several funding goals, and this year’s competition requires that these goals be prioritized. Based on your perspective of HUD requirements, policy priorities, and the housing and service needs in Cambridge, please rank funding priorities (with 1 being top funding priority):</w:t>
      </w:r>
    </w:p>
    <w:tbl>
      <w:tblPr>
        <w:tblStyle w:val="TableGrid"/>
        <w:tblW w:w="0" w:type="auto"/>
        <w:tblInd w:w="720" w:type="dxa"/>
        <w:tblLook w:val="04A0" w:firstRow="1" w:lastRow="0" w:firstColumn="1" w:lastColumn="0" w:noHBand="0" w:noVBand="1"/>
      </w:tblPr>
      <w:tblGrid>
        <w:gridCol w:w="715"/>
        <w:gridCol w:w="9355"/>
      </w:tblGrid>
      <w:tr w:rsidR="00C86394" w14:paraId="1B7DA706" w14:textId="77777777" w:rsidTr="00CD0A50">
        <w:trPr>
          <w:trHeight w:val="496"/>
        </w:trPr>
        <w:tc>
          <w:tcPr>
            <w:tcW w:w="715" w:type="dxa"/>
            <w:vAlign w:val="center"/>
          </w:tcPr>
          <w:p w14:paraId="081D9B29" w14:textId="77777777" w:rsidR="00C86394" w:rsidRPr="00C111DD" w:rsidRDefault="00C86394" w:rsidP="00CD0A50">
            <w:pPr>
              <w:pStyle w:val="ListParagraph"/>
              <w:ind w:left="0"/>
              <w:contextualSpacing w:val="0"/>
              <w:rPr>
                <w:rFonts w:asciiTheme="minorHAnsi" w:hAnsiTheme="minorHAnsi" w:cstheme="minorHAnsi"/>
                <w:b/>
                <w:bCs/>
                <w:sz w:val="21"/>
                <w:szCs w:val="21"/>
              </w:rPr>
            </w:pPr>
            <w:r w:rsidRPr="00C111DD">
              <w:rPr>
                <w:rFonts w:asciiTheme="minorHAnsi" w:hAnsiTheme="minorHAnsi" w:cstheme="minorHAnsi"/>
                <w:b/>
                <w:bCs/>
                <w:sz w:val="21"/>
                <w:szCs w:val="21"/>
              </w:rPr>
              <w:t>Rank</w:t>
            </w:r>
          </w:p>
        </w:tc>
        <w:tc>
          <w:tcPr>
            <w:tcW w:w="9355" w:type="dxa"/>
            <w:vAlign w:val="center"/>
          </w:tcPr>
          <w:p w14:paraId="72D61F5A" w14:textId="77777777" w:rsidR="00C86394" w:rsidRPr="00C111DD" w:rsidRDefault="00C86394" w:rsidP="00CD0A50">
            <w:pPr>
              <w:pStyle w:val="ListParagraph"/>
              <w:ind w:left="0"/>
              <w:contextualSpacing w:val="0"/>
              <w:rPr>
                <w:rFonts w:asciiTheme="minorHAnsi" w:hAnsiTheme="minorHAnsi" w:cstheme="minorHAnsi"/>
                <w:b/>
                <w:bCs/>
                <w:sz w:val="21"/>
                <w:szCs w:val="21"/>
              </w:rPr>
            </w:pPr>
            <w:r w:rsidRPr="00C111DD">
              <w:rPr>
                <w:rFonts w:asciiTheme="minorHAnsi" w:hAnsiTheme="minorHAnsi" w:cstheme="minorHAnsi"/>
                <w:b/>
                <w:bCs/>
                <w:sz w:val="21"/>
                <w:szCs w:val="21"/>
              </w:rPr>
              <w:t>Funding Priority</w:t>
            </w:r>
          </w:p>
        </w:tc>
      </w:tr>
      <w:tr w:rsidR="00C86394" w14:paraId="376E11AA" w14:textId="77777777" w:rsidTr="00CD0A50">
        <w:trPr>
          <w:trHeight w:val="496"/>
        </w:trPr>
        <w:tc>
          <w:tcPr>
            <w:tcW w:w="715" w:type="dxa"/>
            <w:vAlign w:val="center"/>
          </w:tcPr>
          <w:p w14:paraId="3E7D573D"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698892A1" w14:textId="77777777" w:rsidR="00C86394" w:rsidRDefault="00C86394" w:rsidP="00CD0A50">
            <w:pPr>
              <w:pStyle w:val="ListParagraph"/>
              <w:ind w:left="0"/>
              <w:contextualSpacing w:val="0"/>
              <w:rPr>
                <w:rFonts w:cstheme="minorHAnsi"/>
                <w:sz w:val="21"/>
                <w:szCs w:val="21"/>
              </w:rPr>
            </w:pPr>
            <w:r w:rsidRPr="00BF567D">
              <w:rPr>
                <w:rFonts w:asciiTheme="minorHAnsi" w:hAnsiTheme="minorHAnsi" w:cstheme="minorHAnsi"/>
                <w:sz w:val="21"/>
                <w:szCs w:val="21"/>
              </w:rPr>
              <w:t>Expand funding for projects serving DV survivors</w:t>
            </w:r>
          </w:p>
        </w:tc>
      </w:tr>
      <w:tr w:rsidR="00C86394" w14:paraId="2B00B556" w14:textId="77777777" w:rsidTr="00CD0A50">
        <w:trPr>
          <w:trHeight w:val="496"/>
        </w:trPr>
        <w:tc>
          <w:tcPr>
            <w:tcW w:w="715" w:type="dxa"/>
            <w:vAlign w:val="center"/>
          </w:tcPr>
          <w:p w14:paraId="14A8852C"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2009975E" w14:textId="77777777" w:rsidR="00C86394" w:rsidRPr="00EF770C" w:rsidRDefault="00C86394" w:rsidP="00CD0A50">
            <w:pPr>
              <w:pStyle w:val="ListParagraph"/>
              <w:ind w:left="0"/>
              <w:contextualSpacing w:val="0"/>
              <w:rPr>
                <w:rFonts w:asciiTheme="minorHAnsi" w:hAnsiTheme="minorHAnsi" w:cstheme="minorHAnsi"/>
                <w:sz w:val="21"/>
                <w:szCs w:val="21"/>
              </w:rPr>
            </w:pPr>
            <w:r>
              <w:rPr>
                <w:rFonts w:asciiTheme="minorHAnsi" w:hAnsiTheme="minorHAnsi" w:cstheme="minorHAnsi"/>
                <w:sz w:val="21"/>
                <w:szCs w:val="21"/>
              </w:rPr>
              <w:t>Expand funding for PSH</w:t>
            </w:r>
          </w:p>
        </w:tc>
      </w:tr>
      <w:tr w:rsidR="00C86394" w14:paraId="3D274FF1" w14:textId="77777777" w:rsidTr="00CD0A50">
        <w:trPr>
          <w:trHeight w:val="496"/>
        </w:trPr>
        <w:tc>
          <w:tcPr>
            <w:tcW w:w="715" w:type="dxa"/>
            <w:vAlign w:val="center"/>
          </w:tcPr>
          <w:p w14:paraId="553962F5"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15962C1F" w14:textId="77777777" w:rsidR="00C86394" w:rsidRPr="00EF770C" w:rsidRDefault="00C86394" w:rsidP="00CD0A50">
            <w:pPr>
              <w:pStyle w:val="ListParagraph"/>
              <w:ind w:left="0"/>
              <w:contextualSpacing w:val="0"/>
              <w:rPr>
                <w:rFonts w:asciiTheme="minorHAnsi" w:hAnsiTheme="minorHAnsi" w:cstheme="minorHAnsi"/>
                <w:sz w:val="21"/>
                <w:szCs w:val="21"/>
              </w:rPr>
            </w:pPr>
            <w:r>
              <w:rPr>
                <w:rFonts w:asciiTheme="minorHAnsi" w:hAnsiTheme="minorHAnsi" w:cstheme="minorHAnsi"/>
                <w:sz w:val="21"/>
                <w:szCs w:val="21"/>
              </w:rPr>
              <w:t xml:space="preserve">Expand funding for RRH </w:t>
            </w:r>
          </w:p>
        </w:tc>
      </w:tr>
      <w:tr w:rsidR="00C86394" w14:paraId="22D87E51" w14:textId="77777777" w:rsidTr="00CD0A50">
        <w:trPr>
          <w:trHeight w:val="497"/>
        </w:trPr>
        <w:tc>
          <w:tcPr>
            <w:tcW w:w="715" w:type="dxa"/>
            <w:vAlign w:val="center"/>
          </w:tcPr>
          <w:p w14:paraId="2832B09C"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3BAE2544" w14:textId="77777777" w:rsidR="00C86394" w:rsidRDefault="00C86394" w:rsidP="00CD0A50">
            <w:pPr>
              <w:pStyle w:val="ListParagraph"/>
              <w:ind w:left="0"/>
              <w:contextualSpacing w:val="0"/>
              <w:rPr>
                <w:rFonts w:cstheme="minorHAnsi"/>
                <w:sz w:val="21"/>
                <w:szCs w:val="21"/>
              </w:rPr>
            </w:pPr>
            <w:r w:rsidRPr="00EF770C">
              <w:rPr>
                <w:rFonts w:asciiTheme="minorHAnsi" w:hAnsiTheme="minorHAnsi" w:cstheme="minorHAnsi"/>
                <w:sz w:val="21"/>
                <w:szCs w:val="21"/>
              </w:rPr>
              <w:t>Non-housing expansions (Coordinated Intake, HMIS)</w:t>
            </w:r>
          </w:p>
        </w:tc>
      </w:tr>
      <w:tr w:rsidR="00C86394" w14:paraId="7684D4D0" w14:textId="77777777" w:rsidTr="00CD0A50">
        <w:trPr>
          <w:trHeight w:val="497"/>
        </w:trPr>
        <w:tc>
          <w:tcPr>
            <w:tcW w:w="715" w:type="dxa"/>
            <w:vAlign w:val="center"/>
          </w:tcPr>
          <w:p w14:paraId="6672B061"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58E579F7" w14:textId="77777777" w:rsidR="00C86394" w:rsidRPr="00EF770C" w:rsidRDefault="00C86394" w:rsidP="00CD0A50">
            <w:pPr>
              <w:pStyle w:val="ListParagraph"/>
              <w:ind w:left="0"/>
              <w:contextualSpacing w:val="0"/>
              <w:rPr>
                <w:rFonts w:asciiTheme="minorHAnsi" w:hAnsiTheme="minorHAnsi" w:cstheme="minorHAnsi"/>
                <w:sz w:val="21"/>
                <w:szCs w:val="21"/>
              </w:rPr>
            </w:pPr>
            <w:r>
              <w:rPr>
                <w:rFonts w:asciiTheme="minorHAnsi" w:hAnsiTheme="minorHAnsi" w:cstheme="minorHAnsi"/>
                <w:sz w:val="21"/>
                <w:szCs w:val="21"/>
              </w:rPr>
              <w:t>Preserve funding for existing PSH</w:t>
            </w:r>
          </w:p>
        </w:tc>
      </w:tr>
      <w:tr w:rsidR="00C86394" w14:paraId="348ECE89" w14:textId="77777777" w:rsidTr="00CD0A50">
        <w:trPr>
          <w:trHeight w:val="496"/>
        </w:trPr>
        <w:tc>
          <w:tcPr>
            <w:tcW w:w="715" w:type="dxa"/>
            <w:vAlign w:val="center"/>
          </w:tcPr>
          <w:p w14:paraId="60E538D4"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54C2143A" w14:textId="77777777" w:rsidR="00C86394" w:rsidRPr="00EF770C" w:rsidRDefault="00C86394" w:rsidP="00CD0A50">
            <w:pPr>
              <w:pStyle w:val="ListParagraph"/>
              <w:ind w:left="0"/>
              <w:contextualSpacing w:val="0"/>
              <w:rPr>
                <w:rFonts w:asciiTheme="minorHAnsi" w:hAnsiTheme="minorHAnsi" w:cstheme="minorHAnsi"/>
                <w:sz w:val="21"/>
                <w:szCs w:val="21"/>
              </w:rPr>
            </w:pPr>
            <w:r>
              <w:rPr>
                <w:rFonts w:asciiTheme="minorHAnsi" w:hAnsiTheme="minorHAnsi" w:cstheme="minorHAnsi"/>
                <w:sz w:val="21"/>
                <w:szCs w:val="21"/>
              </w:rPr>
              <w:t>Preserve funding for existing RRH</w:t>
            </w:r>
          </w:p>
        </w:tc>
      </w:tr>
      <w:tr w:rsidR="00C86394" w14:paraId="542ABD23" w14:textId="77777777" w:rsidTr="00CD0A50">
        <w:trPr>
          <w:trHeight w:val="497"/>
        </w:trPr>
        <w:tc>
          <w:tcPr>
            <w:tcW w:w="715" w:type="dxa"/>
            <w:vAlign w:val="center"/>
          </w:tcPr>
          <w:p w14:paraId="659632F6"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4E2DF55D" w14:textId="77777777" w:rsidR="00C86394" w:rsidRPr="00EF770C" w:rsidRDefault="00C86394" w:rsidP="00CD0A50">
            <w:pPr>
              <w:pStyle w:val="ListParagraph"/>
              <w:ind w:left="0"/>
              <w:contextualSpacing w:val="0"/>
              <w:rPr>
                <w:rFonts w:asciiTheme="minorHAnsi" w:hAnsiTheme="minorHAnsi" w:cstheme="minorHAnsi"/>
                <w:sz w:val="21"/>
                <w:szCs w:val="21"/>
              </w:rPr>
            </w:pPr>
            <w:r>
              <w:rPr>
                <w:rFonts w:asciiTheme="minorHAnsi" w:hAnsiTheme="minorHAnsi" w:cstheme="minorHAnsi"/>
                <w:sz w:val="21"/>
                <w:szCs w:val="21"/>
              </w:rPr>
              <w:t xml:space="preserve">Other: </w:t>
            </w:r>
            <w:sdt>
              <w:sdtPr>
                <w:rPr>
                  <w:rFonts w:cstheme="minorHAnsi"/>
                  <w:sz w:val="21"/>
                  <w:szCs w:val="21"/>
                </w:rPr>
                <w:id w:val="-180515262"/>
                <w:placeholder>
                  <w:docPart w:val="362C1F526A58426EA4002F2AE66802A3"/>
                </w:placeholder>
                <w:showingPlcHdr/>
              </w:sdtPr>
              <w:sdtEndPr/>
              <w:sdtContent>
                <w:r w:rsidRPr="008B34EF">
                  <w:rPr>
                    <w:rStyle w:val="PlaceholderText"/>
                  </w:rPr>
                  <w:t>Click or tap here to enter text.</w:t>
                </w:r>
              </w:sdtContent>
            </w:sdt>
          </w:p>
        </w:tc>
      </w:tr>
    </w:tbl>
    <w:p w14:paraId="06A6C514" w14:textId="77777777" w:rsidR="00C86394" w:rsidRDefault="00C86394" w:rsidP="00C86394">
      <w:pPr>
        <w:spacing w:after="60"/>
        <w:ind w:left="720"/>
        <w:rPr>
          <w:rFonts w:cs="Segoe UI Semilight"/>
          <w:sz w:val="21"/>
          <w:szCs w:val="21"/>
        </w:rPr>
      </w:pPr>
    </w:p>
    <w:p w14:paraId="46E3502E" w14:textId="77777777" w:rsidR="00C86394" w:rsidRPr="00E329AB" w:rsidRDefault="00C86394" w:rsidP="00C86394">
      <w:pPr>
        <w:spacing w:after="60"/>
        <w:rPr>
          <w:rFonts w:cs="Segoe UI Semilight"/>
          <w:sz w:val="21"/>
          <w:szCs w:val="21"/>
        </w:rPr>
      </w:pPr>
    </w:p>
    <w:p w14:paraId="1987CC3B" w14:textId="77777777" w:rsidR="00C86394" w:rsidRPr="007D0D30" w:rsidRDefault="00C86394" w:rsidP="00C86394">
      <w:pPr>
        <w:pStyle w:val="ListParagraph"/>
        <w:numPr>
          <w:ilvl w:val="0"/>
          <w:numId w:val="1"/>
        </w:numPr>
        <w:spacing w:after="240"/>
        <w:contextualSpacing w:val="0"/>
        <w:rPr>
          <w:rFonts w:cs="Segoe UI Semilight"/>
          <w:sz w:val="20"/>
          <w:szCs w:val="20"/>
        </w:rPr>
      </w:pPr>
      <w:r w:rsidRPr="007D0D30">
        <w:rPr>
          <w:rFonts w:cs="Segoe UI Semilight"/>
          <w:b/>
          <w:bCs/>
          <w:sz w:val="20"/>
          <w:szCs w:val="20"/>
        </w:rPr>
        <w:t>New Project Types</w:t>
      </w:r>
      <w:r w:rsidRPr="007D0D30">
        <w:rPr>
          <w:rFonts w:cs="Segoe UI Semilight"/>
          <w:sz w:val="20"/>
          <w:szCs w:val="20"/>
        </w:rPr>
        <w:t>:  Please rank in order of priority, with 1 being the highest priority and 5 being the lowest, the new project types you would like to see prioritized for funding:</w:t>
      </w:r>
    </w:p>
    <w:tbl>
      <w:tblPr>
        <w:tblStyle w:val="TableGrid"/>
        <w:tblW w:w="0" w:type="auto"/>
        <w:tblInd w:w="720" w:type="dxa"/>
        <w:tblLook w:val="04A0" w:firstRow="1" w:lastRow="0" w:firstColumn="1" w:lastColumn="0" w:noHBand="0" w:noVBand="1"/>
      </w:tblPr>
      <w:tblGrid>
        <w:gridCol w:w="715"/>
        <w:gridCol w:w="9355"/>
      </w:tblGrid>
      <w:tr w:rsidR="00C86394" w14:paraId="632BB611" w14:textId="77777777" w:rsidTr="00CD0A50">
        <w:trPr>
          <w:trHeight w:val="496"/>
        </w:trPr>
        <w:tc>
          <w:tcPr>
            <w:tcW w:w="715" w:type="dxa"/>
            <w:vAlign w:val="center"/>
          </w:tcPr>
          <w:p w14:paraId="09B2ACE8"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269FFFF9" w14:textId="77777777" w:rsidR="00C86394" w:rsidRPr="00EF770C" w:rsidRDefault="00C86394" w:rsidP="00CD0A50">
            <w:pPr>
              <w:pStyle w:val="ListParagraph"/>
              <w:ind w:left="0"/>
              <w:contextualSpacing w:val="0"/>
              <w:rPr>
                <w:rFonts w:asciiTheme="minorHAnsi" w:hAnsiTheme="minorHAnsi" w:cstheme="minorHAnsi"/>
                <w:sz w:val="21"/>
                <w:szCs w:val="21"/>
              </w:rPr>
            </w:pPr>
            <w:r w:rsidRPr="00EF770C">
              <w:rPr>
                <w:rFonts w:asciiTheme="minorHAnsi" w:hAnsiTheme="minorHAnsi" w:cstheme="minorHAnsi"/>
                <w:sz w:val="21"/>
                <w:szCs w:val="21"/>
              </w:rPr>
              <w:t>Permanent Supportive Housing projects for Chronically Homeless households</w:t>
            </w:r>
          </w:p>
        </w:tc>
      </w:tr>
      <w:tr w:rsidR="00C86394" w14:paraId="45A67F3A" w14:textId="77777777" w:rsidTr="00CD0A50">
        <w:trPr>
          <w:trHeight w:val="496"/>
        </w:trPr>
        <w:tc>
          <w:tcPr>
            <w:tcW w:w="715" w:type="dxa"/>
            <w:vAlign w:val="center"/>
          </w:tcPr>
          <w:p w14:paraId="1EF49660"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28399F71" w14:textId="77777777" w:rsidR="00C86394" w:rsidRPr="00EF770C" w:rsidRDefault="00C86394" w:rsidP="00CD0A50">
            <w:pPr>
              <w:pStyle w:val="ListParagraph"/>
              <w:ind w:left="0"/>
              <w:contextualSpacing w:val="0"/>
              <w:rPr>
                <w:rFonts w:asciiTheme="minorHAnsi" w:hAnsiTheme="minorHAnsi" w:cstheme="minorHAnsi"/>
                <w:sz w:val="21"/>
                <w:szCs w:val="21"/>
              </w:rPr>
            </w:pPr>
            <w:r w:rsidRPr="00EF770C">
              <w:rPr>
                <w:rFonts w:asciiTheme="minorHAnsi" w:hAnsiTheme="minorHAnsi" w:cstheme="minorHAnsi"/>
                <w:sz w:val="21"/>
                <w:szCs w:val="21"/>
              </w:rPr>
              <w:t>Rapid Rehousing Projects (time limited rental assistance) for homeless individuals and/or families</w:t>
            </w:r>
          </w:p>
        </w:tc>
      </w:tr>
      <w:tr w:rsidR="00C86394" w14:paraId="1F4324CA" w14:textId="77777777" w:rsidTr="00CD0A50">
        <w:trPr>
          <w:trHeight w:val="497"/>
        </w:trPr>
        <w:tc>
          <w:tcPr>
            <w:tcW w:w="715" w:type="dxa"/>
            <w:vAlign w:val="center"/>
          </w:tcPr>
          <w:p w14:paraId="1F6BB15C"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017FCF5F" w14:textId="77777777" w:rsidR="00C86394" w:rsidRPr="00EF770C" w:rsidRDefault="00C86394" w:rsidP="00CD0A50">
            <w:pPr>
              <w:pStyle w:val="ListParagraph"/>
              <w:ind w:left="0"/>
              <w:contextualSpacing w:val="0"/>
              <w:rPr>
                <w:rFonts w:asciiTheme="minorHAnsi" w:hAnsiTheme="minorHAnsi" w:cstheme="minorHAnsi"/>
                <w:sz w:val="21"/>
                <w:szCs w:val="21"/>
              </w:rPr>
            </w:pPr>
            <w:r w:rsidRPr="00EF770C">
              <w:rPr>
                <w:rFonts w:asciiTheme="minorHAnsi" w:hAnsiTheme="minorHAnsi" w:cstheme="minorHAnsi"/>
                <w:sz w:val="21"/>
                <w:szCs w:val="21"/>
              </w:rPr>
              <w:t>Projects specifically targeting domestic violence survivors (DV Bonus – RRH, TH/RRH, Coordinated Intake)</w:t>
            </w:r>
          </w:p>
        </w:tc>
      </w:tr>
      <w:tr w:rsidR="00C86394" w14:paraId="693A53AB" w14:textId="77777777" w:rsidTr="00CD0A50">
        <w:trPr>
          <w:trHeight w:val="496"/>
        </w:trPr>
        <w:tc>
          <w:tcPr>
            <w:tcW w:w="715" w:type="dxa"/>
            <w:vAlign w:val="center"/>
          </w:tcPr>
          <w:p w14:paraId="6DE7127A"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54BCC765" w14:textId="77777777" w:rsidR="00C86394" w:rsidRPr="00EF770C" w:rsidRDefault="00C86394" w:rsidP="00CD0A50">
            <w:pPr>
              <w:pStyle w:val="ListParagraph"/>
              <w:ind w:left="0"/>
              <w:contextualSpacing w:val="0"/>
              <w:rPr>
                <w:rFonts w:asciiTheme="minorHAnsi" w:hAnsiTheme="minorHAnsi" w:cstheme="minorHAnsi"/>
                <w:sz w:val="21"/>
                <w:szCs w:val="21"/>
              </w:rPr>
            </w:pPr>
            <w:r w:rsidRPr="00EF770C">
              <w:rPr>
                <w:rFonts w:asciiTheme="minorHAnsi" w:hAnsiTheme="minorHAnsi" w:cstheme="minorHAnsi"/>
                <w:sz w:val="21"/>
                <w:szCs w:val="21"/>
              </w:rPr>
              <w:t>Joint Transitional/Rapid Rehousing projects (time limited crisis housing plus rental assistance)</w:t>
            </w:r>
          </w:p>
        </w:tc>
      </w:tr>
      <w:tr w:rsidR="00C86394" w14:paraId="5795A22E" w14:textId="77777777" w:rsidTr="00CD0A50">
        <w:trPr>
          <w:trHeight w:val="497"/>
        </w:trPr>
        <w:tc>
          <w:tcPr>
            <w:tcW w:w="715" w:type="dxa"/>
            <w:vAlign w:val="center"/>
          </w:tcPr>
          <w:p w14:paraId="7DA8A920" w14:textId="77777777" w:rsidR="00C86394" w:rsidRDefault="00C86394" w:rsidP="00CD0A50">
            <w:pPr>
              <w:pStyle w:val="ListParagraph"/>
              <w:spacing w:after="240"/>
              <w:ind w:left="0"/>
              <w:contextualSpacing w:val="0"/>
              <w:rPr>
                <w:rFonts w:cs="Segoe UI Semilight"/>
                <w:sz w:val="21"/>
                <w:szCs w:val="21"/>
              </w:rPr>
            </w:pPr>
          </w:p>
        </w:tc>
        <w:tc>
          <w:tcPr>
            <w:tcW w:w="9355" w:type="dxa"/>
            <w:vAlign w:val="center"/>
          </w:tcPr>
          <w:p w14:paraId="4A6D20F1" w14:textId="77777777" w:rsidR="00C86394" w:rsidRPr="00EF770C" w:rsidRDefault="00C86394" w:rsidP="00CD0A50">
            <w:pPr>
              <w:pStyle w:val="ListParagraph"/>
              <w:ind w:left="0"/>
              <w:contextualSpacing w:val="0"/>
              <w:rPr>
                <w:rFonts w:asciiTheme="minorHAnsi" w:hAnsiTheme="minorHAnsi" w:cstheme="minorHAnsi"/>
                <w:sz w:val="21"/>
                <w:szCs w:val="21"/>
              </w:rPr>
            </w:pPr>
            <w:r w:rsidRPr="00EF770C">
              <w:rPr>
                <w:rFonts w:asciiTheme="minorHAnsi" w:hAnsiTheme="minorHAnsi" w:cstheme="minorHAnsi"/>
                <w:sz w:val="21"/>
                <w:szCs w:val="21"/>
              </w:rPr>
              <w:t>Non-housing expansions (Coordinated Intake, Supportive Services (e.g. navigation, stabilization), HMIS)</w:t>
            </w:r>
          </w:p>
        </w:tc>
      </w:tr>
    </w:tbl>
    <w:p w14:paraId="227B9661" w14:textId="77777777" w:rsidR="00C86394" w:rsidRPr="007371D1" w:rsidRDefault="00C86394" w:rsidP="00C86394">
      <w:pPr>
        <w:spacing w:after="240"/>
        <w:rPr>
          <w:rFonts w:cs="Segoe UI Semilight"/>
          <w:sz w:val="21"/>
          <w:szCs w:val="21"/>
        </w:rPr>
      </w:pPr>
    </w:p>
    <w:p w14:paraId="7A44CEA4" w14:textId="77777777" w:rsidR="00C86394" w:rsidRPr="007D0D30" w:rsidRDefault="00C86394" w:rsidP="00C86394">
      <w:pPr>
        <w:pStyle w:val="ListParagraph"/>
        <w:numPr>
          <w:ilvl w:val="0"/>
          <w:numId w:val="1"/>
        </w:numPr>
        <w:spacing w:after="60"/>
        <w:rPr>
          <w:rFonts w:cs="Segoe UI Semilight"/>
          <w:sz w:val="20"/>
          <w:szCs w:val="20"/>
        </w:rPr>
      </w:pPr>
      <w:r w:rsidRPr="007D0D30">
        <w:rPr>
          <w:rFonts w:cs="Segoe UI Semilight"/>
          <w:sz w:val="20"/>
          <w:szCs w:val="20"/>
        </w:rPr>
        <w:t>Please use this space to record additional thoughts, ideas, and/or feedback related to CoC strategy for reallocation, ranking, and funding priorities.</w:t>
      </w:r>
    </w:p>
    <w:sdt>
      <w:sdtPr>
        <w:rPr>
          <w:rFonts w:cs="Segoe UI Semilight"/>
          <w:sz w:val="21"/>
          <w:szCs w:val="21"/>
        </w:rPr>
        <w:id w:val="-1876607071"/>
        <w:placeholder>
          <w:docPart w:val="362C1F526A58426EA4002F2AE66802A3"/>
        </w:placeholder>
        <w:showingPlcHdr/>
      </w:sdtPr>
      <w:sdtEndPr/>
      <w:sdtContent>
        <w:p w14:paraId="3CB86DC1" w14:textId="77777777" w:rsidR="00C86394" w:rsidRPr="00E329AB" w:rsidRDefault="00C86394" w:rsidP="00C86394">
          <w:pPr>
            <w:spacing w:after="60"/>
            <w:ind w:left="720"/>
            <w:rPr>
              <w:rFonts w:cs="Segoe UI Semilight"/>
              <w:sz w:val="21"/>
              <w:szCs w:val="21"/>
            </w:rPr>
          </w:pPr>
          <w:r w:rsidRPr="008B34EF">
            <w:rPr>
              <w:rStyle w:val="PlaceholderText"/>
            </w:rPr>
            <w:t>Click or tap here to enter text.</w:t>
          </w:r>
        </w:p>
      </w:sdtContent>
    </w:sdt>
    <w:p w14:paraId="69109D78" w14:textId="77777777" w:rsidR="00434997" w:rsidRDefault="00A06010"/>
    <w:sectPr w:rsidR="00434997" w:rsidSect="00AC2637">
      <w:pgSz w:w="12240" w:h="15840"/>
      <w:pgMar w:top="720" w:right="720" w:bottom="720" w:left="720" w:header="720" w:footer="5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35CE5"/>
    <w:multiLevelType w:val="hybridMultilevel"/>
    <w:tmpl w:val="19E241D4"/>
    <w:lvl w:ilvl="0" w:tplc="49A219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1119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94"/>
    <w:rsid w:val="004D320A"/>
    <w:rsid w:val="007D0D30"/>
    <w:rsid w:val="00A06010"/>
    <w:rsid w:val="00C86394"/>
    <w:rsid w:val="00F0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B8AF"/>
  <w15:chartTrackingRefBased/>
  <w15:docId w15:val="{94D727A6-2D50-4DAA-AB63-1382FD52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394"/>
    <w:pPr>
      <w:ind w:left="720"/>
      <w:contextualSpacing/>
    </w:pPr>
  </w:style>
  <w:style w:type="table" w:styleId="TableGrid">
    <w:name w:val="Table Grid"/>
    <w:basedOn w:val="TableNormal"/>
    <w:uiPriority w:val="39"/>
    <w:rsid w:val="00C86394"/>
    <w:pPr>
      <w:spacing w:after="0" w:line="240" w:lineRule="auto"/>
    </w:pPr>
    <w:rPr>
      <w:rFonts w:ascii="Museo Sans 300" w:hAnsi="Museo Sans 3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6394"/>
    <w:rPr>
      <w:color w:val="808080"/>
    </w:rPr>
  </w:style>
  <w:style w:type="character" w:styleId="Hyperlink">
    <w:name w:val="Hyperlink"/>
    <w:basedOn w:val="DefaultParagraphFont"/>
    <w:uiPriority w:val="99"/>
    <w:unhideWhenUsed/>
    <w:rsid w:val="007D0D30"/>
    <w:rPr>
      <w:color w:val="0563C1" w:themeColor="hyperlink"/>
      <w:u w:val="single"/>
    </w:rPr>
  </w:style>
  <w:style w:type="character" w:styleId="UnresolvedMention">
    <w:name w:val="Unresolved Mention"/>
    <w:basedOn w:val="DefaultParagraphFont"/>
    <w:uiPriority w:val="99"/>
    <w:semiHidden/>
    <w:unhideWhenUsed/>
    <w:rsid w:val="007D0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engers@cambridgema.gov"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C1F526A58426EA4002F2AE66802A3"/>
        <w:category>
          <w:name w:val="General"/>
          <w:gallery w:val="placeholder"/>
        </w:category>
        <w:types>
          <w:type w:val="bbPlcHdr"/>
        </w:types>
        <w:behaviors>
          <w:behavior w:val="content"/>
        </w:behaviors>
        <w:guid w:val="{0B8A86F6-FC7C-4D83-8C38-F6C100038727}"/>
      </w:docPartPr>
      <w:docPartBody>
        <w:p w:rsidR="00291B1F" w:rsidRDefault="00FB33F3" w:rsidP="00FB33F3">
          <w:pPr>
            <w:pStyle w:val="362C1F526A58426EA4002F2AE66802A3"/>
          </w:pPr>
          <w:r w:rsidRPr="008B34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3F3"/>
    <w:rsid w:val="00291B1F"/>
    <w:rsid w:val="00FB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3F3"/>
    <w:rPr>
      <w:color w:val="808080"/>
    </w:rPr>
  </w:style>
  <w:style w:type="paragraph" w:customStyle="1" w:styleId="362C1F526A58426EA4002F2AE66802A3">
    <w:name w:val="362C1F526A58426EA4002F2AE66802A3"/>
    <w:rsid w:val="00FB3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Mengers, Elizabeth</dc:creator>
  <cp:keywords/>
  <dc:description/>
  <cp:lastModifiedBy>Mengers, Elizabeth</cp:lastModifiedBy>
  <cp:revision>3</cp:revision>
  <dcterms:created xsi:type="dcterms:W3CDTF">2022-08-13T14:17:00Z</dcterms:created>
  <dcterms:modified xsi:type="dcterms:W3CDTF">2022-08-18T15:44:00Z</dcterms:modified>
</cp:coreProperties>
</file>